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新疆喀什地区巴楚县林业和草原局2019年度部门决算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0" w:name="_Toc32314"/>
      <w:bookmarkStart w:id="1" w:name="_Toc24028"/>
      <w:r>
        <w:rPr>
          <w:rFonts w:hint="eastAsia" w:ascii="黑体" w:hAnsi="黑体" w:eastAsia="黑体"/>
          <w:sz w:val="32"/>
          <w:szCs w:val="32"/>
        </w:rPr>
        <w:t>第一部分 部门单位概况</w:t>
      </w:r>
      <w:bookmarkEnd w:id="0"/>
      <w:bookmarkEnd w:id="1"/>
    </w:p>
    <w:p>
      <w:pPr>
        <w:ind w:firstLine="640" w:firstLineChars="200"/>
        <w:outlineLvl w:val="1"/>
        <w:rPr>
          <w:rFonts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rPr>
          <w:rFonts w:ascii="仿宋_GB2312" w:eastAsia="仿宋_GB2312"/>
          <w:sz w:val="32"/>
          <w:szCs w:val="32"/>
        </w:rPr>
      </w:pPr>
      <w:r>
        <w:rPr>
          <w:rFonts w:hint="eastAsia" w:ascii="仿宋_GB2312" w:eastAsia="仿宋_GB2312"/>
          <w:sz w:val="32"/>
          <w:szCs w:val="32"/>
        </w:rPr>
        <w:t xml:space="preserve">    （1）贯彻执行党和政府有关国土、农林、水利、草原工作的法律、法规和路线、方针、政策，并组织实施，监督管理。（2）研究制定全县国土规划、林业组织规划、退耕还林还牧、资源监测、林果业发展规划和工作计划，并加以实施完成。（3）依法对我县林业发展战略，组织、指导森林资源的管理培育；组织指导植树造林封山育林；组织指导全县陆生野生动植物资源的保护和合理开发利用等多项工作。（4）运用广播电视新闻媒体全面、及时、准确地宣传、贯彻党的生态发展路线、方针、政策和国家的法律、法令，正确把握舆论导向，为推动我县经济发展、社会稳定和生态环境做好宣传工作。（5）负责林业苗木检疫、林地保护、天然林保护管理。宣传贯彻森林法、野生动植物保护法法律、法规和规章。依法对林业经营单位和野生动植物经营活动进行监督检查。保护合法经营，制止和查处违法行为。</w:t>
      </w:r>
    </w:p>
    <w:p>
      <w:pPr>
        <w:ind w:firstLine="640" w:firstLineChars="200"/>
        <w:outlineLvl w:val="1"/>
        <w:rPr>
          <w:rFonts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pPr>
      <w:r>
        <w:rPr>
          <w:rFonts w:hint="eastAsia" w:ascii="仿宋_GB2312" w:eastAsia="仿宋_GB2312"/>
          <w:sz w:val="32"/>
          <w:szCs w:val="32"/>
        </w:rPr>
        <w:t>新疆喀什地区巴楚县林业和草原局2</w:t>
      </w:r>
      <w:r>
        <w:rPr>
          <w:rFonts w:ascii="仿宋_GB2312" w:eastAsia="仿宋_GB2312"/>
          <w:sz w:val="32"/>
          <w:szCs w:val="32"/>
        </w:rPr>
        <w:t>019</w:t>
      </w:r>
      <w:r>
        <w:rPr>
          <w:rFonts w:hint="eastAsia" w:ascii="仿宋_GB2312" w:eastAsia="仿宋_GB2312"/>
          <w:sz w:val="32"/>
          <w:szCs w:val="32"/>
        </w:rPr>
        <w:t>年度，实有人数21人，其中：在职人员21人，离休人员0人，退休人员0人。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从部门决算单位构成看，新疆喀什地区巴楚县林业和草原局部门决算包括：新疆喀什地区巴楚县林业和草原局决算。</w:t>
      </w:r>
    </w:p>
    <w:p>
      <w:pPr>
        <w:ind w:firstLine="640" w:firstLineChars="200"/>
        <w:jc w:val="center"/>
        <w:outlineLvl w:val="0"/>
        <w:rPr>
          <w:rFonts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rPr>
          <w:rFonts w:ascii="仿宋_GB2312" w:eastAsia="仿宋_GB2312"/>
          <w:sz w:val="32"/>
          <w:szCs w:val="32"/>
        </w:rPr>
      </w:pPr>
      <w:r>
        <w:rPr>
          <w:rFonts w:hint="eastAsia" w:ascii="仿宋_GB2312" w:eastAsia="仿宋_GB2312"/>
          <w:sz w:val="32"/>
          <w:szCs w:val="32"/>
        </w:rPr>
        <w:t>2019年度本年收入6,237.78万元，与上年相比，增加6,237.78万元，增长100%，主要原因是：</w:t>
      </w:r>
      <w:r>
        <w:rPr>
          <w:rFonts w:hint="eastAsia" w:ascii="仿宋_GB2312" w:eastAsia="仿宋_GB2312"/>
          <w:color w:val="000000" w:themeColor="text1"/>
          <w:sz w:val="32"/>
          <w:szCs w:val="32"/>
          <w14:textFill>
            <w14:solidFill>
              <w14:schemeClr w14:val="tx1"/>
            </w14:solidFill>
          </w14:textFill>
        </w:rPr>
        <w:t>因2019年度单位机构改革，新成立单位无去年数据。</w:t>
      </w:r>
      <w:r>
        <w:rPr>
          <w:rFonts w:hint="eastAsia" w:ascii="仿宋_GB2312" w:eastAsia="仿宋_GB2312"/>
          <w:sz w:val="32"/>
          <w:szCs w:val="32"/>
        </w:rPr>
        <w:t>本年支出6,237.78万元，与上年相比，增加6,237.78万元，增长100%，主要原因是：</w:t>
      </w:r>
      <w:r>
        <w:rPr>
          <w:rFonts w:hint="eastAsia" w:ascii="仿宋_GB2312" w:eastAsia="仿宋_GB2312"/>
          <w:color w:val="000000" w:themeColor="text1"/>
          <w:sz w:val="32"/>
          <w:szCs w:val="32"/>
          <w14:textFill>
            <w14:solidFill>
              <w14:schemeClr w14:val="tx1"/>
            </w14:solidFill>
          </w14:textFill>
        </w:rPr>
        <w:t>因2019年度单位机构改革，新成立单位无去年数据。</w:t>
      </w:r>
    </w:p>
    <w:p>
      <w:pPr>
        <w:ind w:firstLine="640" w:firstLineChars="200"/>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eastAsia="仿宋_GB2312"/>
          <w:sz w:val="32"/>
          <w:szCs w:val="32"/>
        </w:rPr>
        <w:t>2019</w:t>
      </w:r>
      <w:r>
        <w:rPr>
          <w:rFonts w:hint="eastAsia" w:ascii="仿宋_GB2312" w:eastAsia="仿宋_GB2312"/>
          <w:sz w:val="32"/>
          <w:szCs w:val="32"/>
        </w:rPr>
        <w:t>年度本年收入6,237.78万元，其中：财政拨款收入6,237.78万元，占100%；上级补助收入0万元，占0%；事业收入0万元，占0%；经营收入0万元，占0%；附属单位上缴收入0万元，占0%；其他收入0万元，占0%。</w:t>
      </w:r>
    </w:p>
    <w:p>
      <w:pPr>
        <w:ind w:firstLine="640" w:firstLineChars="200"/>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hint="eastAsia" w:ascii="仿宋_GB2312" w:eastAsia="仿宋_GB2312"/>
          <w:sz w:val="32"/>
          <w:szCs w:val="32"/>
        </w:rPr>
        <w:t>2019年度本年支出6,237.78万元，其中：基本支出540.62万元，占8.67%；项目支出5,697.16万元，占91.33%；上缴上级支出0万元，占0%；经营支出0万元，占0%；对附属单位补助支出0万元，占0%。</w:t>
      </w:r>
    </w:p>
    <w:p>
      <w:pPr>
        <w:ind w:firstLine="640" w:firstLineChars="200"/>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hint="eastAsia" w:ascii="仿宋_GB2312" w:eastAsia="仿宋_GB2312"/>
          <w:sz w:val="32"/>
          <w:szCs w:val="32"/>
        </w:rPr>
        <w:t>2019年度财政拨款收入6,237.78万元，与上年相比，增加6,237.78万元，增长100%，主要原因是：因2019年度单位机构改革，新成立单位无去年数据。财政拨款支出6,237.78万元，与上年相比，增加6,237.78万元，增长100%，主要原因是：</w:t>
      </w:r>
      <w:r>
        <w:rPr>
          <w:rFonts w:ascii="仿宋_GB2312" w:eastAsia="仿宋_GB2312"/>
          <w:sz w:val="32"/>
          <w:szCs w:val="32"/>
        </w:rPr>
        <w:t>因2019年度单位机构改革，新成立单位无去年数据。</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color w:val="000000" w:themeColor="text1"/>
          <w:sz w:val="32"/>
          <w:szCs w:val="32"/>
          <w14:textFill>
            <w14:solidFill>
              <w14:schemeClr w14:val="tx1"/>
            </w14:solidFill>
          </w14:textFill>
        </w:rPr>
        <w:t>5,710</w:t>
      </w:r>
      <w:r>
        <w:rPr>
          <w:rFonts w:hint="eastAsia" w:ascii="仿宋_GB2312" w:eastAsia="仿宋_GB2312"/>
          <w:sz w:val="32"/>
          <w:szCs w:val="32"/>
        </w:rPr>
        <w:t>万元，决算数6,237.78万元</w:t>
      </w:r>
      <w:r>
        <w:rPr>
          <w:rFonts w:ascii="仿宋_GB2312" w:eastAsia="仿宋_GB2312"/>
          <w:color w:val="000000" w:themeColor="text1"/>
          <w:sz w:val="32"/>
          <w:szCs w:val="32"/>
          <w14:textFill>
            <w14:solidFill>
              <w14:schemeClr w14:val="tx1"/>
            </w14:solidFill>
          </w14:textFill>
        </w:rPr>
        <w:t>，预决算差异率9.24%，主要原因是：因2019年度单位机构改革，新成立单位无去年数据。</w:t>
      </w:r>
      <w:r>
        <w:rPr>
          <w:rFonts w:hint="eastAsia" w:ascii="仿宋_GB2312" w:eastAsia="仿宋_GB2312"/>
          <w:sz w:val="32"/>
          <w:szCs w:val="32"/>
        </w:rPr>
        <w:t>财政拨款支出年初预算数</w:t>
      </w:r>
      <w:r>
        <w:rPr>
          <w:rFonts w:ascii="仿宋_GB2312" w:eastAsia="仿宋_GB2312"/>
          <w:color w:val="000000" w:themeColor="text1"/>
          <w:sz w:val="32"/>
          <w:szCs w:val="32"/>
          <w14:textFill>
            <w14:solidFill>
              <w14:schemeClr w14:val="tx1"/>
            </w14:solidFill>
          </w14:textFill>
        </w:rPr>
        <w:t>5,710</w:t>
      </w:r>
      <w:r>
        <w:rPr>
          <w:rFonts w:hint="eastAsia" w:ascii="仿宋_GB2312" w:eastAsia="仿宋_GB2312"/>
          <w:sz w:val="32"/>
          <w:szCs w:val="32"/>
        </w:rPr>
        <w:t>万元，决算数6,237.78万元</w:t>
      </w:r>
      <w:r>
        <w:rPr>
          <w:rFonts w:ascii="仿宋_GB2312" w:eastAsia="仿宋_GB2312"/>
          <w:color w:val="000000" w:themeColor="text1"/>
          <w:sz w:val="32"/>
          <w:szCs w:val="32"/>
          <w14:textFill>
            <w14:solidFill>
              <w14:schemeClr w14:val="tx1"/>
            </w14:solidFill>
          </w14:textFill>
        </w:rPr>
        <w:t>，预决算差异率9.24%，主要原因是：因2019年度单位机构改革，新成立单位无去年数据。</w:t>
      </w:r>
    </w:p>
    <w:p>
      <w:pPr>
        <w:ind w:firstLine="640" w:firstLineChars="200"/>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eastAsia="仿宋_GB2312"/>
          <w:sz w:val="32"/>
          <w:szCs w:val="32"/>
        </w:rPr>
        <w:t>2019</w:t>
      </w:r>
      <w:r>
        <w:rPr>
          <w:rFonts w:hint="eastAsia" w:ascii="仿宋_GB2312" w:eastAsia="仿宋_GB2312"/>
          <w:sz w:val="32"/>
          <w:szCs w:val="32"/>
        </w:rPr>
        <w:t>年度一般公共预算财政拨款支出6,237.78万元。按功能分类科目项级科目公开，其中：</w:t>
      </w:r>
    </w:p>
    <w:p>
      <w:pPr>
        <w:rPr>
          <w:rFonts w:ascii="仿宋_GB2312" w:eastAsia="仿宋_GB2312"/>
          <w:sz w:val="32"/>
          <w:szCs w:val="32"/>
        </w:rPr>
      </w:pPr>
      <w:r>
        <w:rPr>
          <w:rFonts w:ascii="仿宋_GB2312" w:eastAsia="仿宋_GB2312"/>
          <w:sz w:val="32"/>
          <w:szCs w:val="32"/>
        </w:rPr>
        <w:t xml:space="preserve">   2080505机关事业单位基本养老保险缴费支出47.24万元；</w:t>
      </w:r>
      <w:r>
        <w:rPr>
          <w:rFonts w:ascii="仿宋_GB2312" w:eastAsia="仿宋_GB2312"/>
          <w:sz w:val="32"/>
          <w:szCs w:val="32"/>
        </w:rPr>
        <w:br w:type="textWrapping"/>
      </w:r>
      <w:r>
        <w:rPr>
          <w:rFonts w:ascii="仿宋_GB2312" w:eastAsia="仿宋_GB2312"/>
          <w:sz w:val="32"/>
          <w:szCs w:val="32"/>
        </w:rPr>
        <w:t xml:space="preserve">   2080506机关事业单位职业年金缴费支出3.12万元；</w:t>
      </w:r>
      <w:r>
        <w:rPr>
          <w:rFonts w:ascii="仿宋_GB2312" w:eastAsia="仿宋_GB2312"/>
          <w:sz w:val="32"/>
          <w:szCs w:val="32"/>
        </w:rPr>
        <w:br w:type="textWrapping"/>
      </w:r>
      <w:r>
        <w:rPr>
          <w:rFonts w:ascii="仿宋_GB2312" w:eastAsia="仿宋_GB2312"/>
          <w:sz w:val="32"/>
          <w:szCs w:val="32"/>
        </w:rPr>
        <w:t xml:space="preserve">   2101101行政单位医疗支出23.98万元；</w:t>
      </w:r>
      <w:r>
        <w:rPr>
          <w:rFonts w:ascii="仿宋_GB2312" w:eastAsia="仿宋_GB2312"/>
          <w:sz w:val="32"/>
          <w:szCs w:val="32"/>
        </w:rPr>
        <w:br w:type="textWrapping"/>
      </w:r>
      <w:r>
        <w:rPr>
          <w:rFonts w:ascii="仿宋_GB2312" w:eastAsia="仿宋_GB2312"/>
          <w:sz w:val="32"/>
          <w:szCs w:val="32"/>
        </w:rPr>
        <w:t xml:space="preserve">   2101102事业单位医疗支出7.46万元；</w:t>
      </w:r>
      <w:r>
        <w:rPr>
          <w:rFonts w:ascii="仿宋_GB2312" w:eastAsia="仿宋_GB2312"/>
          <w:sz w:val="32"/>
          <w:szCs w:val="32"/>
        </w:rPr>
        <w:br w:type="textWrapping"/>
      </w:r>
      <w:r>
        <w:rPr>
          <w:rFonts w:ascii="仿宋_GB2312" w:eastAsia="仿宋_GB2312"/>
          <w:sz w:val="32"/>
          <w:szCs w:val="32"/>
        </w:rPr>
        <w:t xml:space="preserve">   2101103公务员医疗补助支出5.74万元；</w:t>
      </w:r>
      <w:r>
        <w:rPr>
          <w:rFonts w:ascii="仿宋_GB2312" w:eastAsia="仿宋_GB2312"/>
          <w:sz w:val="32"/>
          <w:szCs w:val="32"/>
        </w:rPr>
        <w:br w:type="textWrapping"/>
      </w:r>
      <w:r>
        <w:rPr>
          <w:rFonts w:ascii="仿宋_GB2312" w:eastAsia="仿宋_GB2312"/>
          <w:sz w:val="32"/>
          <w:szCs w:val="32"/>
        </w:rPr>
        <w:t xml:space="preserve">   2110602退耕现金支出233.94万元；</w:t>
      </w:r>
      <w:r>
        <w:rPr>
          <w:rFonts w:ascii="仿宋_GB2312" w:eastAsia="仿宋_GB2312"/>
          <w:sz w:val="32"/>
          <w:szCs w:val="32"/>
        </w:rPr>
        <w:br w:type="textWrapping"/>
      </w:r>
      <w:r>
        <w:rPr>
          <w:rFonts w:ascii="仿宋_GB2312" w:eastAsia="仿宋_GB2312"/>
          <w:sz w:val="32"/>
          <w:szCs w:val="32"/>
        </w:rPr>
        <w:t xml:space="preserve">   2110605退耕还林工程建设支出314.38万元；</w:t>
      </w:r>
      <w:r>
        <w:rPr>
          <w:rFonts w:ascii="仿宋_GB2312" w:eastAsia="仿宋_GB2312"/>
          <w:sz w:val="32"/>
          <w:szCs w:val="32"/>
        </w:rPr>
        <w:br w:type="textWrapping"/>
      </w:r>
      <w:r>
        <w:rPr>
          <w:rFonts w:ascii="仿宋_GB2312" w:eastAsia="仿宋_GB2312"/>
          <w:sz w:val="32"/>
          <w:szCs w:val="32"/>
        </w:rPr>
        <w:t xml:space="preserve">   2110804退牧还草工程建设支出73.75万元；</w:t>
      </w:r>
      <w:r>
        <w:rPr>
          <w:rFonts w:ascii="仿宋_GB2312" w:eastAsia="仿宋_GB2312"/>
          <w:sz w:val="32"/>
          <w:szCs w:val="32"/>
        </w:rPr>
        <w:br w:type="textWrapping"/>
      </w:r>
      <w:r>
        <w:rPr>
          <w:rFonts w:ascii="仿宋_GB2312" w:eastAsia="仿宋_GB2312"/>
          <w:sz w:val="32"/>
          <w:szCs w:val="32"/>
        </w:rPr>
        <w:t xml:space="preserve">   2119901其他节能环保支出74.99万元；</w:t>
      </w:r>
      <w:r>
        <w:rPr>
          <w:rFonts w:ascii="仿宋_GB2312" w:eastAsia="仿宋_GB2312"/>
          <w:sz w:val="32"/>
          <w:szCs w:val="32"/>
        </w:rPr>
        <w:br w:type="textWrapping"/>
      </w:r>
      <w:r>
        <w:rPr>
          <w:rFonts w:ascii="仿宋_GB2312" w:eastAsia="仿宋_GB2312"/>
          <w:sz w:val="32"/>
          <w:szCs w:val="32"/>
        </w:rPr>
        <w:t xml:space="preserve">   2130101行政运行支出291.36万元；</w:t>
      </w:r>
      <w:r>
        <w:rPr>
          <w:rFonts w:ascii="仿宋_GB2312" w:eastAsia="仿宋_GB2312"/>
          <w:sz w:val="32"/>
          <w:szCs w:val="32"/>
        </w:rPr>
        <w:br w:type="textWrapping"/>
      </w:r>
      <w:r>
        <w:rPr>
          <w:rFonts w:ascii="仿宋_GB2312" w:eastAsia="仿宋_GB2312"/>
          <w:sz w:val="32"/>
          <w:szCs w:val="32"/>
        </w:rPr>
        <w:t xml:space="preserve">   2130104事业运行支出90.31万元；</w:t>
      </w:r>
      <w:r>
        <w:rPr>
          <w:rFonts w:ascii="仿宋_GB2312" w:eastAsia="仿宋_GB2312"/>
          <w:sz w:val="32"/>
          <w:szCs w:val="32"/>
        </w:rPr>
        <w:br w:type="textWrapping"/>
      </w:r>
      <w:r>
        <w:rPr>
          <w:rFonts w:ascii="仿宋_GB2312" w:eastAsia="仿宋_GB2312"/>
          <w:sz w:val="32"/>
          <w:szCs w:val="32"/>
        </w:rPr>
        <w:t xml:space="preserve">   2130119防灾救灾支出9.96万元；</w:t>
      </w:r>
      <w:r>
        <w:rPr>
          <w:rFonts w:ascii="仿宋_GB2312" w:eastAsia="仿宋_GB2312"/>
          <w:sz w:val="32"/>
          <w:szCs w:val="32"/>
        </w:rPr>
        <w:br w:type="textWrapping"/>
      </w:r>
      <w:r>
        <w:rPr>
          <w:rFonts w:ascii="仿宋_GB2312" w:eastAsia="仿宋_GB2312"/>
          <w:sz w:val="32"/>
          <w:szCs w:val="32"/>
        </w:rPr>
        <w:t xml:space="preserve">   2130135农业资源保护修复与利用支出15万元；</w:t>
      </w:r>
      <w:r>
        <w:rPr>
          <w:rFonts w:ascii="仿宋_GB2312" w:eastAsia="仿宋_GB2312"/>
          <w:sz w:val="32"/>
          <w:szCs w:val="32"/>
        </w:rPr>
        <w:br w:type="textWrapping"/>
      </w:r>
      <w:r>
        <w:rPr>
          <w:rFonts w:ascii="仿宋_GB2312" w:eastAsia="仿宋_GB2312"/>
          <w:sz w:val="32"/>
          <w:szCs w:val="32"/>
        </w:rPr>
        <w:t xml:space="preserve">   2130201行政运行支出37.26万元；</w:t>
      </w:r>
      <w:r>
        <w:rPr>
          <w:rFonts w:ascii="仿宋_GB2312" w:eastAsia="仿宋_GB2312"/>
          <w:sz w:val="32"/>
          <w:szCs w:val="32"/>
        </w:rPr>
        <w:br w:type="textWrapping"/>
      </w:r>
      <w:r>
        <w:rPr>
          <w:rFonts w:ascii="仿宋_GB2312" w:eastAsia="仿宋_GB2312"/>
          <w:sz w:val="32"/>
          <w:szCs w:val="32"/>
        </w:rPr>
        <w:t xml:space="preserve">   2130205森林培育支出889.43万元；</w:t>
      </w:r>
      <w:r>
        <w:rPr>
          <w:rFonts w:ascii="仿宋_GB2312" w:eastAsia="仿宋_GB2312"/>
          <w:sz w:val="32"/>
          <w:szCs w:val="32"/>
        </w:rPr>
        <w:br w:type="textWrapping"/>
      </w:r>
      <w:r>
        <w:rPr>
          <w:rFonts w:ascii="仿宋_GB2312" w:eastAsia="仿宋_GB2312"/>
          <w:sz w:val="32"/>
          <w:szCs w:val="32"/>
        </w:rPr>
        <w:t xml:space="preserve">   2130206技术推广与转化支出3.14万元；</w:t>
      </w:r>
      <w:r>
        <w:rPr>
          <w:rFonts w:ascii="仿宋_GB2312" w:eastAsia="仿宋_GB2312"/>
          <w:sz w:val="32"/>
          <w:szCs w:val="32"/>
        </w:rPr>
        <w:br w:type="textWrapping"/>
      </w:r>
      <w:r>
        <w:rPr>
          <w:rFonts w:ascii="仿宋_GB2312" w:eastAsia="仿宋_GB2312"/>
          <w:sz w:val="32"/>
          <w:szCs w:val="32"/>
        </w:rPr>
        <w:t xml:space="preserve">   2130209森林生态效益补偿支出971.49万元；</w:t>
      </w:r>
      <w:r>
        <w:rPr>
          <w:rFonts w:ascii="仿宋_GB2312" w:eastAsia="仿宋_GB2312"/>
          <w:sz w:val="32"/>
          <w:szCs w:val="32"/>
        </w:rPr>
        <w:br w:type="textWrapping"/>
      </w:r>
      <w:r>
        <w:rPr>
          <w:rFonts w:ascii="仿宋_GB2312" w:eastAsia="仿宋_GB2312"/>
          <w:sz w:val="32"/>
          <w:szCs w:val="32"/>
        </w:rPr>
        <w:t xml:space="preserve">   2130213执法与监督支出2.11万元；</w:t>
      </w:r>
      <w:r>
        <w:rPr>
          <w:rFonts w:ascii="仿宋_GB2312" w:eastAsia="仿宋_GB2312"/>
          <w:sz w:val="32"/>
          <w:szCs w:val="32"/>
        </w:rPr>
        <w:br w:type="textWrapping"/>
      </w:r>
      <w:r>
        <w:rPr>
          <w:rFonts w:ascii="仿宋_GB2312" w:eastAsia="仿宋_GB2312"/>
          <w:sz w:val="32"/>
          <w:szCs w:val="32"/>
        </w:rPr>
        <w:t xml:space="preserve">   2130217防沙治沙支出466.56万元；</w:t>
      </w:r>
      <w:r>
        <w:rPr>
          <w:rFonts w:ascii="仿宋_GB2312" w:eastAsia="仿宋_GB2312"/>
          <w:sz w:val="32"/>
          <w:szCs w:val="32"/>
        </w:rPr>
        <w:br w:type="textWrapping"/>
      </w:r>
      <w:r>
        <w:rPr>
          <w:rFonts w:ascii="仿宋_GB2312" w:eastAsia="仿宋_GB2312"/>
          <w:sz w:val="32"/>
          <w:szCs w:val="32"/>
        </w:rPr>
        <w:t xml:space="preserve">   2130234防灾减灾支出20万元；</w:t>
      </w:r>
      <w:r>
        <w:rPr>
          <w:rFonts w:ascii="仿宋_GB2312" w:eastAsia="仿宋_GB2312"/>
          <w:sz w:val="32"/>
          <w:szCs w:val="32"/>
        </w:rPr>
        <w:br w:type="textWrapping"/>
      </w:r>
      <w:r>
        <w:rPr>
          <w:rFonts w:ascii="仿宋_GB2312" w:eastAsia="仿宋_GB2312"/>
          <w:sz w:val="32"/>
          <w:szCs w:val="32"/>
        </w:rPr>
        <w:t xml:space="preserve">   2130299其他林业和草原支出135.69万元；</w:t>
      </w:r>
      <w:r>
        <w:rPr>
          <w:rFonts w:ascii="仿宋_GB2312" w:eastAsia="仿宋_GB2312"/>
          <w:sz w:val="32"/>
          <w:szCs w:val="32"/>
        </w:rPr>
        <w:br w:type="textWrapping"/>
      </w:r>
      <w:r>
        <w:rPr>
          <w:rFonts w:ascii="仿宋_GB2312" w:eastAsia="仿宋_GB2312"/>
          <w:sz w:val="32"/>
          <w:szCs w:val="32"/>
        </w:rPr>
        <w:t xml:space="preserve">   2130505生产发展支出2,486.72万元；</w:t>
      </w:r>
      <w:r>
        <w:rPr>
          <w:rFonts w:ascii="仿宋_GB2312" w:eastAsia="仿宋_GB2312"/>
          <w:sz w:val="32"/>
          <w:szCs w:val="32"/>
        </w:rPr>
        <w:br w:type="textWrapping"/>
      </w:r>
      <w:r>
        <w:rPr>
          <w:rFonts w:ascii="仿宋_GB2312" w:eastAsia="仿宋_GB2312"/>
          <w:sz w:val="32"/>
          <w:szCs w:val="32"/>
        </w:rPr>
        <w:t xml:space="preserve">   2210201住房公积金支出34.1</w:t>
      </w:r>
      <w:r>
        <w:rPr>
          <w:rFonts w:hint="eastAsia" w:ascii="仿宋_GB2312" w:eastAsia="仿宋_GB2312"/>
          <w:sz w:val="32"/>
          <w:szCs w:val="32"/>
          <w:lang w:val="en-US" w:eastAsia="zh-CN"/>
        </w:rPr>
        <w:t>5</w:t>
      </w:r>
      <w:r>
        <w:rPr>
          <w:rFonts w:ascii="仿宋_GB2312" w:eastAsia="仿宋_GB2312"/>
          <w:sz w:val="32"/>
          <w:szCs w:val="32"/>
        </w:rPr>
        <w:t>万元。</w:t>
      </w:r>
    </w:p>
    <w:p>
      <w:pPr>
        <w:ind w:firstLine="640" w:firstLineChars="200"/>
        <w:outlineLvl w:val="1"/>
        <w:rPr>
          <w:rFonts w:ascii="黑体" w:hAnsi="黑体" w:eastAsia="黑体" w:cs="宋体"/>
          <w:bCs/>
          <w:kern w:val="0"/>
          <w:sz w:val="32"/>
          <w:szCs w:val="32"/>
        </w:rPr>
      </w:pPr>
      <w:bookmarkStart w:id="18" w:name="_Toc11146"/>
      <w:bookmarkStart w:id="19" w:name="_Toc30870"/>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eastAsia="仿宋_GB2312"/>
          <w:sz w:val="32"/>
          <w:szCs w:val="32"/>
        </w:rPr>
        <w:t>2019</w:t>
      </w:r>
      <w:r>
        <w:rPr>
          <w:rFonts w:hint="eastAsia" w:ascii="仿宋_GB2312" w:eastAsia="仿宋_GB2312"/>
          <w:sz w:val="32"/>
          <w:szCs w:val="32"/>
        </w:rPr>
        <w:t>年度一般公共预算财政拨款基本支出540.62万元，其中：</w:t>
      </w:r>
    </w:p>
    <w:p>
      <w:pPr>
        <w:ind w:firstLine="640" w:firstLineChars="200"/>
        <w:rPr>
          <w:rFonts w:ascii="仿宋_GB2312" w:eastAsia="仿宋_GB2312"/>
          <w:sz w:val="32"/>
          <w:szCs w:val="32"/>
        </w:rPr>
      </w:pPr>
      <w:r>
        <w:rPr>
          <w:rFonts w:hint="eastAsia" w:ascii="仿宋_GB2312" w:eastAsia="仿宋_GB2312"/>
          <w:sz w:val="32"/>
          <w:szCs w:val="32"/>
        </w:rPr>
        <w:t>人员经费522.31万元，包括：基本工资、津贴补贴、奖金、机关事业单位基本养老保险缴费、职业年金缴费、职工基本医疗保险缴费、公务员医疗补助缴费、其他社会保障缴费、住房公积金、</w:t>
      </w:r>
      <w:r>
        <w:rPr>
          <w:rFonts w:hint="eastAsia" w:ascii="仿宋_GB2312" w:eastAsia="仿宋_GB2312"/>
          <w:color w:val="auto"/>
          <w:sz w:val="32"/>
          <w:szCs w:val="32"/>
          <w:lang w:eastAsia="zh-CN"/>
        </w:rPr>
        <w:t>对个人和家庭的补助、</w:t>
      </w:r>
      <w:r>
        <w:rPr>
          <w:rFonts w:hint="eastAsia" w:ascii="仿宋_GB2312" w:eastAsia="仿宋_GB2312"/>
          <w:sz w:val="32"/>
          <w:szCs w:val="32"/>
        </w:rPr>
        <w:t>抚恤金、生活补助、其他对个人和家庭的补助。</w:t>
      </w:r>
    </w:p>
    <w:p>
      <w:pPr>
        <w:ind w:firstLine="640" w:firstLineChars="200"/>
        <w:rPr>
          <w:rFonts w:ascii="仿宋_GB2312" w:eastAsia="仿宋_GB2312"/>
          <w:sz w:val="32"/>
          <w:szCs w:val="32"/>
        </w:rPr>
      </w:pPr>
      <w:r>
        <w:rPr>
          <w:rFonts w:hint="eastAsia" w:ascii="仿宋_GB2312" w:eastAsia="仿宋_GB2312"/>
          <w:sz w:val="32"/>
          <w:szCs w:val="32"/>
        </w:rPr>
        <w:t>公用经费18.31万元，包括：办公费、电费、邮电费、取暖费、差旅费、公务用车运行维护费。</w:t>
      </w:r>
    </w:p>
    <w:p>
      <w:pPr>
        <w:ind w:firstLine="640" w:firstLineChars="200"/>
        <w:outlineLvl w:val="1"/>
        <w:rPr>
          <w:rFonts w:ascii="黑体" w:hAnsi="黑体" w:eastAsia="黑体" w:cs="宋体"/>
          <w:bCs/>
          <w:kern w:val="0"/>
          <w:sz w:val="32"/>
          <w:szCs w:val="32"/>
        </w:rPr>
      </w:pPr>
      <w:bookmarkStart w:id="20" w:name="_Toc7190"/>
      <w:bookmarkStart w:id="21" w:name="_Toc21518"/>
      <w:r>
        <w:rPr>
          <w:rFonts w:hint="eastAsia" w:ascii="黑体" w:hAnsi="黑体" w:eastAsia="黑体" w:cs="宋体"/>
          <w:bCs/>
          <w:kern w:val="0"/>
          <w:sz w:val="32"/>
          <w:szCs w:val="32"/>
        </w:rPr>
        <w:t>七、一般公共预算财政拨款“三公”经费支出决算情况说明</w:t>
      </w:r>
      <w:bookmarkEnd w:id="20"/>
      <w:bookmarkEnd w:id="21"/>
    </w:p>
    <w:p>
      <w:pPr>
        <w:ind w:firstLine="640" w:firstLineChars="200"/>
        <w:rPr>
          <w:rFonts w:ascii="仿宋_GB2312" w:eastAsia="仿宋_GB2312"/>
          <w:sz w:val="32"/>
          <w:szCs w:val="32"/>
        </w:rPr>
      </w:pPr>
      <w:r>
        <w:rPr>
          <w:rFonts w:ascii="仿宋_GB2312" w:eastAsia="仿宋_GB2312"/>
          <w:sz w:val="32"/>
          <w:szCs w:val="32"/>
        </w:rPr>
        <w:t>2019</w:t>
      </w:r>
      <w:r>
        <w:rPr>
          <w:rFonts w:hint="eastAsia" w:ascii="仿宋_GB2312" w:eastAsia="仿宋_GB2312"/>
          <w:sz w:val="32"/>
          <w:szCs w:val="32"/>
        </w:rPr>
        <w:t>年度一般公共预算“三公”经费支出决算7.20万元，比上年增加7.20万元，增长100%，主要原因是因2019年度单位机构改革，新成立单位无去年数据。其中，因公出国（境）费支出0万元，占0%，比上年增加0万元，增长0%，主要原因是无此项内容；公务用车购置及运行维护费支出7.20万元，占100%，比上年增加7.20万元，增长100%，主要原因是因2019年度单位机构改革，新成立单位无去年数据；公务接待费支出0万元，占0%，比上年增加0万元，增长0%，主要原因是无此项内容。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因公出国（境）费支出0万元，开支内容包括：</w:t>
      </w:r>
      <w:r>
        <w:rPr>
          <w:rFonts w:ascii="仿宋_GB2312" w:eastAsia="仿宋_GB2312"/>
          <w:color w:val="000000" w:themeColor="text1"/>
          <w:sz w:val="32"/>
          <w:szCs w:val="32"/>
          <w14:textFill>
            <w14:solidFill>
              <w14:schemeClr w14:val="tx1"/>
            </w14:solidFill>
          </w14:textFill>
        </w:rPr>
        <w:t>无此项内容。</w:t>
      </w:r>
      <w:r>
        <w:rPr>
          <w:rFonts w:hint="eastAsia" w:ascii="仿宋_GB2312" w:eastAsia="仿宋_GB2312"/>
          <w:sz w:val="32"/>
          <w:szCs w:val="32"/>
        </w:rPr>
        <w:t>单位全年安排的因公出国（境）团组0个，因公出国（境）0人次。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7.20万元，其中，公务用车购置费0万元，公务用车运行维护费7.20万元。公务用车运行维护费开支内容包括因2019年度单位机构改革，新成立单位无去年数据。公务用车购置数0辆，公务用车保有量8辆。</w:t>
      </w:r>
    </w:p>
    <w:p>
      <w:pPr>
        <w:ind w:firstLine="640" w:firstLineChars="200"/>
        <w:rPr>
          <w:rFonts w:ascii="仿宋_GB2312" w:eastAsia="仿宋_GB2312"/>
          <w:sz w:val="32"/>
          <w:szCs w:val="32"/>
        </w:rPr>
      </w:pPr>
      <w:r>
        <w:rPr>
          <w:rFonts w:hint="eastAsia" w:ascii="仿宋_GB2312" w:eastAsia="仿宋_GB2312"/>
          <w:sz w:val="32"/>
          <w:szCs w:val="32"/>
        </w:rPr>
        <w:t>公务接待费0万元，开支内容包括无此项内容。单位全年安排的国内公务接待0批次，0人次。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w:t>
      </w:r>
      <w:r>
        <w:rPr>
          <w:rFonts w:ascii="仿宋_GB2312" w:eastAsia="仿宋_GB2312"/>
          <w:color w:val="000000" w:themeColor="text1"/>
          <w:sz w:val="32"/>
          <w:szCs w:val="32"/>
          <w14:textFill>
            <w14:solidFill>
              <w14:schemeClr w14:val="tx1"/>
            </w14:solidFill>
          </w14:textFill>
        </w:rPr>
        <w:t>8</w:t>
      </w:r>
      <w:r>
        <w:rPr>
          <w:rFonts w:hint="eastAsia" w:ascii="仿宋_GB2312" w:eastAsia="仿宋_GB2312"/>
          <w:sz w:val="32"/>
          <w:szCs w:val="32"/>
        </w:rPr>
        <w:t>万元，决算数</w:t>
      </w:r>
      <w:r>
        <w:rPr>
          <w:rFonts w:hint="eastAsia" w:ascii="仿宋_GB2312" w:eastAsia="仿宋_GB2312"/>
          <w:color w:val="000000" w:themeColor="text1"/>
          <w:sz w:val="32"/>
          <w:szCs w:val="32"/>
          <w14:textFill>
            <w14:solidFill>
              <w14:schemeClr w14:val="tx1"/>
            </w14:solidFill>
          </w14:textFill>
        </w:rPr>
        <w:t>7.20</w:t>
      </w:r>
      <w:r>
        <w:rPr>
          <w:rFonts w:hint="eastAsia" w:ascii="仿宋_GB2312" w:eastAsia="仿宋_GB2312"/>
          <w:sz w:val="32"/>
          <w:szCs w:val="32"/>
        </w:rPr>
        <w:t>万元</w:t>
      </w:r>
      <w:r>
        <w:rPr>
          <w:rFonts w:ascii="仿宋_GB2312" w:eastAsia="仿宋_GB2312"/>
          <w:color w:val="000000" w:themeColor="text1"/>
          <w:sz w:val="32"/>
          <w:szCs w:val="32"/>
          <w14:textFill>
            <w14:solidFill>
              <w14:schemeClr w14:val="tx1"/>
            </w14:solidFill>
          </w14:textFill>
        </w:rPr>
        <w:t>，预决算差异率-10%，主要原因是：严格</w:t>
      </w:r>
      <w:r>
        <w:rPr>
          <w:rFonts w:hint="eastAsia" w:ascii="仿宋_GB2312" w:eastAsia="仿宋_GB2312"/>
          <w:color w:val="000000" w:themeColor="text1"/>
          <w:sz w:val="32"/>
          <w:szCs w:val="32"/>
          <w:lang w:eastAsia="zh-CN"/>
          <w14:textFill>
            <w14:solidFill>
              <w14:schemeClr w14:val="tx1"/>
            </w14:solidFill>
          </w14:textFill>
        </w:rPr>
        <w:t>压缩经费</w:t>
      </w:r>
      <w:r>
        <w:rPr>
          <w:rFonts w:ascii="仿宋_GB2312" w:eastAsia="仿宋_GB2312"/>
          <w:color w:val="000000" w:themeColor="text1"/>
          <w:sz w:val="32"/>
          <w:szCs w:val="32"/>
          <w14:textFill>
            <w14:solidFill>
              <w14:schemeClr w14:val="tx1"/>
            </w14:solidFill>
          </w14:textFill>
        </w:rPr>
        <w:t>。</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万元，决算数</w:t>
      </w:r>
      <w:r>
        <w:rPr>
          <w:rFonts w:hint="eastAsia"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万元</w:t>
      </w:r>
      <w:r>
        <w:rPr>
          <w:rFonts w:ascii="仿宋_GB2312" w:eastAsia="仿宋_GB2312"/>
          <w:color w:val="000000" w:themeColor="text1"/>
          <w:sz w:val="32"/>
          <w:szCs w:val="32"/>
          <w14:textFill>
            <w14:solidFill>
              <w14:schemeClr w14:val="tx1"/>
            </w14:solidFill>
          </w14:textFill>
        </w:rPr>
        <w:t>，预决算差异率0%，主要原因是：无此项内容；</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万元，决算数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万元</w:t>
      </w:r>
      <w:r>
        <w:rPr>
          <w:rFonts w:ascii="仿宋_GB2312" w:eastAsia="仿宋_GB2312"/>
          <w:color w:val="000000" w:themeColor="text1"/>
          <w:sz w:val="32"/>
          <w:szCs w:val="32"/>
          <w14:textFill>
            <w14:solidFill>
              <w14:schemeClr w14:val="tx1"/>
            </w14:solidFill>
          </w14:textFill>
        </w:rPr>
        <w:t>，预决算差异率0%，主要原因是：无此项内容；</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w:t>
      </w:r>
      <w:r>
        <w:rPr>
          <w:rFonts w:ascii="仿宋_GB2312" w:eastAsia="仿宋_GB2312"/>
          <w:color w:val="000000" w:themeColor="text1"/>
          <w:sz w:val="32"/>
          <w:szCs w:val="32"/>
          <w14:textFill>
            <w14:solidFill>
              <w14:schemeClr w14:val="tx1"/>
            </w14:solidFill>
          </w14:textFill>
        </w:rPr>
        <w:t>8</w:t>
      </w:r>
      <w:r>
        <w:rPr>
          <w:rFonts w:hint="eastAsia" w:ascii="仿宋_GB2312" w:eastAsia="仿宋_GB2312"/>
          <w:sz w:val="32"/>
          <w:szCs w:val="32"/>
        </w:rPr>
        <w:t>万元，决算数</w:t>
      </w:r>
      <w:r>
        <w:rPr>
          <w:rFonts w:ascii="仿宋_GB2312" w:eastAsia="仿宋_GB2312"/>
          <w:color w:val="000000" w:themeColor="text1"/>
          <w:sz w:val="32"/>
          <w:szCs w:val="32"/>
          <w14:textFill>
            <w14:solidFill>
              <w14:schemeClr w14:val="tx1"/>
            </w14:solidFill>
          </w14:textFill>
        </w:rPr>
        <w:t>7.20</w:t>
      </w:r>
      <w:r>
        <w:rPr>
          <w:rFonts w:hint="eastAsia" w:ascii="仿宋_GB2312" w:eastAsia="仿宋_GB2312"/>
          <w:sz w:val="32"/>
          <w:szCs w:val="32"/>
        </w:rPr>
        <w:t>万元</w:t>
      </w:r>
      <w:r>
        <w:rPr>
          <w:rFonts w:ascii="仿宋_GB2312" w:eastAsia="仿宋_GB2312"/>
          <w:color w:val="000000" w:themeColor="text1"/>
          <w:sz w:val="32"/>
          <w:szCs w:val="32"/>
          <w14:textFill>
            <w14:solidFill>
              <w14:schemeClr w14:val="tx1"/>
            </w14:solidFill>
          </w14:textFill>
        </w:rPr>
        <w:t>，预决算差异率-10%，主要原因是：严格</w:t>
      </w:r>
      <w:r>
        <w:rPr>
          <w:rFonts w:hint="eastAsia" w:ascii="仿宋_GB2312" w:eastAsia="仿宋_GB2312"/>
          <w:color w:val="000000" w:themeColor="text1"/>
          <w:sz w:val="32"/>
          <w:szCs w:val="32"/>
          <w:lang w:eastAsia="zh-CN"/>
          <w14:textFill>
            <w14:solidFill>
              <w14:schemeClr w14:val="tx1"/>
            </w14:solidFill>
          </w14:textFill>
        </w:rPr>
        <w:t>压缩经费</w:t>
      </w:r>
      <w:bookmarkStart w:id="54" w:name="_GoBack"/>
      <w:bookmarkEnd w:id="54"/>
      <w:r>
        <w:rPr>
          <w:rFonts w:ascii="仿宋_GB2312" w:eastAsia="仿宋_GB2312"/>
          <w:color w:val="000000" w:themeColor="text1"/>
          <w:sz w:val="32"/>
          <w:szCs w:val="32"/>
          <w14:textFill>
            <w14:solidFill>
              <w14:schemeClr w14:val="tx1"/>
            </w14:solidFill>
          </w14:textFill>
        </w:rPr>
        <w:t>；</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万元，决算数</w:t>
      </w:r>
      <w:r>
        <w:rPr>
          <w:rFonts w:hint="eastAsia"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万元</w:t>
      </w:r>
      <w:r>
        <w:rPr>
          <w:rFonts w:ascii="仿宋_GB2312" w:eastAsia="仿宋_GB2312"/>
          <w:color w:val="000000" w:themeColor="text1"/>
          <w:sz w:val="32"/>
          <w:szCs w:val="32"/>
          <w14:textFill>
            <w14:solidFill>
              <w14:schemeClr w14:val="tx1"/>
            </w14:solidFill>
          </w14:textFill>
        </w:rPr>
        <w:t>，预决算差异率0%，主要原因是：无此项内容。</w:t>
      </w:r>
    </w:p>
    <w:p>
      <w:pPr>
        <w:ind w:firstLine="640" w:firstLineChars="200"/>
        <w:outlineLvl w:val="1"/>
        <w:rPr>
          <w:rFonts w:ascii="黑体" w:hAnsi="黑体" w:eastAsia="黑体" w:cs="宋体"/>
          <w:bCs/>
          <w:kern w:val="0"/>
          <w:sz w:val="32"/>
          <w:szCs w:val="32"/>
        </w:rPr>
      </w:pPr>
      <w:bookmarkStart w:id="22" w:name="_Toc5810"/>
      <w:bookmarkStart w:id="23" w:name="_Toc7927"/>
      <w:r>
        <w:rPr>
          <w:rFonts w:hint="eastAsia" w:ascii="黑体" w:hAnsi="黑体" w:eastAsia="黑体" w:cs="宋体"/>
          <w:bCs/>
          <w:kern w:val="0"/>
          <w:sz w:val="32"/>
          <w:szCs w:val="32"/>
        </w:rPr>
        <w:t>八、政府性基金预算收入支出决算情况说明</w:t>
      </w:r>
      <w:bookmarkEnd w:id="22"/>
      <w:bookmarkEnd w:id="23"/>
    </w:p>
    <w:p>
      <w:pPr>
        <w:ind w:firstLine="640" w:firstLineChars="200"/>
        <w:rPr>
          <w:rFonts w:ascii="仿宋_GB2312" w:eastAsia="仿宋_GB2312"/>
          <w:color w:val="000000" w:themeColor="text1"/>
          <w:sz w:val="32"/>
          <w:szCs w:val="32"/>
          <w14:textFill>
            <w14:solidFill>
              <w14:schemeClr w14:val="tx1"/>
            </w14:solidFill>
          </w14:textFill>
        </w:rPr>
      </w:pPr>
      <w:r>
        <w:rPr>
          <w:rFonts w:ascii="仿宋_GB2312" w:eastAsia="仿宋_GB2312"/>
          <w:color w:val="000000" w:themeColor="text1"/>
          <w:sz w:val="32"/>
          <w:szCs w:val="32"/>
          <w14:textFill>
            <w14:solidFill>
              <w14:schemeClr w14:val="tx1"/>
            </w14:solidFill>
          </w14:textFill>
        </w:rPr>
        <w:t>我单位本年度无政府性基金预算财政拨款收入支出，政府性基金预算财政拨款收入支出决算表为空表。</w:t>
      </w:r>
    </w:p>
    <w:p>
      <w:pPr>
        <w:ind w:firstLine="640" w:firstLineChars="200"/>
        <w:outlineLvl w:val="1"/>
        <w:rPr>
          <w:rFonts w:ascii="黑体" w:hAnsi="黑体" w:eastAsia="黑体" w:cs="宋体"/>
          <w:bCs/>
          <w:kern w:val="0"/>
          <w:sz w:val="32"/>
          <w:szCs w:val="32"/>
        </w:rPr>
      </w:pPr>
      <w:bookmarkStart w:id="24" w:name="_Toc1235"/>
      <w:bookmarkStart w:id="25" w:name="_Toc7314"/>
      <w:r>
        <w:rPr>
          <w:rFonts w:hint="eastAsia" w:ascii="黑体" w:hAnsi="黑体" w:eastAsia="黑体" w:cs="宋体"/>
          <w:bCs/>
          <w:kern w:val="0"/>
          <w:sz w:val="32"/>
          <w:szCs w:val="32"/>
        </w:rPr>
        <w:t>九、其他重要事项的情况说明</w:t>
      </w:r>
      <w:bookmarkEnd w:id="24"/>
      <w:bookmarkEnd w:id="25"/>
    </w:p>
    <w:p>
      <w:pPr>
        <w:ind w:firstLine="640" w:firstLineChars="200"/>
        <w:outlineLvl w:val="2"/>
        <w:rPr>
          <w:rFonts w:ascii="黑体" w:hAnsi="黑体" w:eastAsia="黑体"/>
          <w:sz w:val="32"/>
          <w:szCs w:val="32"/>
        </w:rPr>
      </w:pPr>
      <w:bookmarkStart w:id="26" w:name="_Toc14519"/>
      <w:bookmarkStart w:id="27" w:name="_Toc13105"/>
      <w:r>
        <w:rPr>
          <w:rFonts w:hint="eastAsia" w:ascii="黑体" w:hAnsi="黑体" w:eastAsia="黑体"/>
          <w:sz w:val="32"/>
          <w:szCs w:val="32"/>
        </w:rPr>
        <w:t>（一）机关运行经费支出情况</w:t>
      </w:r>
      <w:bookmarkEnd w:id="26"/>
      <w:bookmarkEnd w:id="27"/>
    </w:p>
    <w:p>
      <w:pPr>
        <w:ind w:firstLine="640" w:firstLineChars="200"/>
        <w:rPr>
          <w:rFonts w:ascii="仿宋_GB2312" w:eastAsia="仿宋_GB2312"/>
          <w:sz w:val="32"/>
          <w:szCs w:val="32"/>
          <w:highlight w:val="none"/>
        </w:rPr>
      </w:pPr>
      <w:r>
        <w:rPr>
          <w:rFonts w:hint="eastAsia" w:ascii="仿宋_GB2312" w:eastAsia="仿宋_GB2312"/>
          <w:color w:val="000000" w:themeColor="text1"/>
          <w:sz w:val="32"/>
          <w:szCs w:val="32"/>
          <w:highlight w:val="none"/>
          <w14:textFill>
            <w14:solidFill>
              <w14:schemeClr w14:val="tx1"/>
            </w14:solidFill>
          </w14:textFill>
        </w:rPr>
        <w:t>2019年度新疆喀什地区巴楚县林业和草原局机关运行经费支出18.31万元，比上年增加18.31万元，增长100%，主要原因是因2019年度单位机构改革，新成立单位无去年数据，日常公用经费商品和服务支出增加。</w:t>
      </w:r>
    </w:p>
    <w:p>
      <w:pPr>
        <w:ind w:firstLine="640" w:firstLineChars="200"/>
        <w:outlineLvl w:val="2"/>
        <w:rPr>
          <w:rFonts w:ascii="黑体" w:hAnsi="黑体" w:eastAsia="黑体"/>
          <w:sz w:val="32"/>
          <w:szCs w:val="32"/>
          <w:highlight w:val="none"/>
        </w:rPr>
      </w:pPr>
      <w:bookmarkStart w:id="28" w:name="_Toc227"/>
      <w:bookmarkStart w:id="29" w:name="_Toc26704"/>
      <w:r>
        <w:rPr>
          <w:rFonts w:hint="eastAsia" w:ascii="黑体" w:hAnsi="黑体" w:eastAsia="黑体"/>
          <w:sz w:val="32"/>
          <w:szCs w:val="32"/>
          <w:highlight w:val="none"/>
        </w:rPr>
        <w:t>（二）政府采购情况</w:t>
      </w:r>
      <w:bookmarkEnd w:id="28"/>
      <w:bookmarkEnd w:id="29"/>
    </w:p>
    <w:p>
      <w:pPr>
        <w:ind w:firstLine="640" w:firstLineChars="200"/>
        <w:rPr>
          <w:rFonts w:ascii="仿宋_GB2312" w:eastAsia="仿宋_GB2312"/>
          <w:sz w:val="32"/>
          <w:szCs w:val="32"/>
          <w:highlight w:val="none"/>
        </w:rPr>
      </w:pPr>
      <w:r>
        <w:rPr>
          <w:rFonts w:ascii="仿宋_GB2312" w:eastAsia="仿宋_GB2312"/>
          <w:sz w:val="32"/>
          <w:szCs w:val="32"/>
          <w:highlight w:val="none"/>
        </w:rPr>
        <w:t>2019</w:t>
      </w:r>
      <w:r>
        <w:rPr>
          <w:rFonts w:hint="eastAsia" w:ascii="仿宋_GB2312" w:eastAsia="仿宋_GB2312"/>
          <w:sz w:val="32"/>
          <w:szCs w:val="32"/>
          <w:highlight w:val="none"/>
        </w:rPr>
        <w:t>年度政府采购支出总额1,720万元，其中：政府采购货物支出761万元、政府采购工程支出0万元、政府采购服务支出959万元。</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rPr>
        <w:t>授予中小企业合同金额1,720万元，占政府采购支出总额的100%，其中：授予小微企业合同金额1,720万元，占政府采购支出总额的100%。</w:t>
      </w:r>
    </w:p>
    <w:p>
      <w:pPr>
        <w:ind w:firstLine="640" w:firstLineChars="200"/>
        <w:outlineLvl w:val="2"/>
        <w:rPr>
          <w:rFonts w:ascii="黑体" w:hAnsi="黑体" w:eastAsia="黑体"/>
          <w:sz w:val="32"/>
          <w:szCs w:val="32"/>
          <w:highlight w:val="none"/>
        </w:rPr>
      </w:pPr>
      <w:bookmarkStart w:id="30" w:name="_Toc4591"/>
      <w:bookmarkStart w:id="31" w:name="_Toc8391"/>
      <w:r>
        <w:rPr>
          <w:rFonts w:hint="eastAsia" w:ascii="黑体" w:hAnsi="黑体" w:eastAsia="黑体"/>
          <w:sz w:val="32"/>
          <w:szCs w:val="32"/>
          <w:highlight w:val="none"/>
        </w:rPr>
        <w:t>（三）国有资产占用情况说明</w:t>
      </w:r>
      <w:bookmarkEnd w:id="30"/>
      <w:bookmarkEnd w:id="31"/>
    </w:p>
    <w:p>
      <w:pPr>
        <w:ind w:firstLine="640" w:firstLineChars="200"/>
        <w:rPr>
          <w:rFonts w:ascii="仿宋_GB2312" w:eastAsia="仿宋_GB2312"/>
          <w:sz w:val="32"/>
          <w:szCs w:val="32"/>
          <w:highlight w:val="none"/>
        </w:rPr>
      </w:pPr>
      <w:r>
        <w:rPr>
          <w:rFonts w:hint="eastAsia" w:ascii="仿宋_GB2312" w:eastAsia="仿宋_GB2312"/>
          <w:sz w:val="32"/>
          <w:szCs w:val="32"/>
          <w:highlight w:val="none"/>
        </w:rPr>
        <w:t>截止</w:t>
      </w:r>
      <w:r>
        <w:rPr>
          <w:rFonts w:ascii="仿宋_GB2312" w:eastAsia="仿宋_GB2312"/>
          <w:sz w:val="32"/>
          <w:szCs w:val="32"/>
          <w:highlight w:val="none"/>
        </w:rPr>
        <w:t>2019</w:t>
      </w:r>
      <w:r>
        <w:rPr>
          <w:rFonts w:hint="eastAsia" w:ascii="仿宋_GB2312" w:eastAsia="仿宋_GB2312"/>
          <w:sz w:val="32"/>
          <w:szCs w:val="32"/>
          <w:highlight w:val="none"/>
        </w:rPr>
        <w:t>年12月31日，单位共有房屋2,005.45（平方米），价值121.20万元。车辆8辆，价值115.06万元，其中：副部（省）级及以上领导用车0辆、主要领导干部用车</w:t>
      </w:r>
      <w:r>
        <w:rPr>
          <w:rFonts w:ascii="仿宋_GB2312" w:eastAsia="仿宋_GB2312"/>
          <w:color w:val="000000" w:themeColor="text1"/>
          <w:sz w:val="32"/>
          <w:szCs w:val="32"/>
          <w:highlight w:val="none"/>
          <w14:textFill>
            <w14:solidFill>
              <w14:schemeClr w14:val="tx1"/>
            </w14:solidFill>
          </w14:textFill>
        </w:rPr>
        <w:t>0</w:t>
      </w:r>
      <w:r>
        <w:rPr>
          <w:rFonts w:hint="eastAsia" w:ascii="仿宋_GB2312" w:eastAsia="仿宋_GB2312"/>
          <w:sz w:val="32"/>
          <w:szCs w:val="32"/>
          <w:highlight w:val="none"/>
        </w:rPr>
        <w:t>辆、机要通信用车</w:t>
      </w:r>
      <w:r>
        <w:rPr>
          <w:rFonts w:ascii="仿宋_GB2312" w:eastAsia="仿宋_GB2312"/>
          <w:color w:val="000000" w:themeColor="text1"/>
          <w:sz w:val="32"/>
          <w:szCs w:val="32"/>
          <w:highlight w:val="none"/>
          <w14:textFill>
            <w14:solidFill>
              <w14:schemeClr w14:val="tx1"/>
            </w14:solidFill>
          </w14:textFill>
        </w:rPr>
        <w:t>0</w:t>
      </w:r>
      <w:r>
        <w:rPr>
          <w:rFonts w:hint="eastAsia" w:ascii="仿宋_GB2312" w:eastAsia="仿宋_GB2312"/>
          <w:sz w:val="32"/>
          <w:szCs w:val="32"/>
          <w:highlight w:val="none"/>
        </w:rPr>
        <w:t>辆、应急保障用车</w:t>
      </w:r>
      <w:r>
        <w:rPr>
          <w:rFonts w:ascii="仿宋_GB2312" w:eastAsia="仿宋_GB2312"/>
          <w:color w:val="000000" w:themeColor="text1"/>
          <w:sz w:val="32"/>
          <w:szCs w:val="32"/>
          <w:highlight w:val="none"/>
          <w14:textFill>
            <w14:solidFill>
              <w14:schemeClr w14:val="tx1"/>
            </w14:solidFill>
          </w14:textFill>
        </w:rPr>
        <w:t>0</w:t>
      </w:r>
      <w:r>
        <w:rPr>
          <w:rFonts w:hint="eastAsia" w:ascii="仿宋_GB2312" w:eastAsia="仿宋_GB2312"/>
          <w:sz w:val="32"/>
          <w:szCs w:val="32"/>
          <w:highlight w:val="none"/>
        </w:rPr>
        <w:t>辆、执法执勤用车2辆、特种专业技术用车0辆、离退休干部用车</w:t>
      </w:r>
      <w:r>
        <w:rPr>
          <w:rFonts w:ascii="仿宋_GB2312" w:eastAsia="仿宋_GB2312"/>
          <w:color w:val="000000" w:themeColor="text1"/>
          <w:sz w:val="32"/>
          <w:szCs w:val="32"/>
          <w:highlight w:val="none"/>
          <w14:textFill>
            <w14:solidFill>
              <w14:schemeClr w14:val="tx1"/>
            </w14:solidFill>
          </w14:textFill>
        </w:rPr>
        <w:t>0</w:t>
      </w:r>
      <w:r>
        <w:rPr>
          <w:rFonts w:hint="eastAsia" w:ascii="仿宋_GB2312" w:eastAsia="仿宋_GB2312"/>
          <w:sz w:val="32"/>
          <w:szCs w:val="32"/>
          <w:highlight w:val="none"/>
        </w:rPr>
        <w:t>辆、其他用车</w:t>
      </w:r>
      <w:r>
        <w:rPr>
          <w:rFonts w:ascii="仿宋_GB2312" w:eastAsia="仿宋_GB2312"/>
          <w:color w:val="000000" w:themeColor="text1"/>
          <w:sz w:val="32"/>
          <w:szCs w:val="32"/>
          <w:highlight w:val="none"/>
          <w14:textFill>
            <w14:solidFill>
              <w14:schemeClr w14:val="tx1"/>
            </w14:solidFill>
          </w14:textFill>
        </w:rPr>
        <w:t>6</w:t>
      </w:r>
      <w:r>
        <w:rPr>
          <w:rFonts w:hint="eastAsia" w:ascii="仿宋_GB2312" w:eastAsia="仿宋_GB2312"/>
          <w:sz w:val="32"/>
          <w:szCs w:val="32"/>
          <w:highlight w:val="none"/>
        </w:rPr>
        <w:t>辆，其他用车主要是：</w:t>
      </w:r>
      <w:r>
        <w:rPr>
          <w:rFonts w:ascii="仿宋_GB2312" w:eastAsia="仿宋_GB2312"/>
          <w:color w:val="000000" w:themeColor="text1"/>
          <w:sz w:val="32"/>
          <w:szCs w:val="32"/>
          <w:highlight w:val="none"/>
          <w14:textFill>
            <w14:solidFill>
              <w14:schemeClr w14:val="tx1"/>
            </w14:solidFill>
          </w14:textFill>
        </w:rPr>
        <w:t>日常公务用车；</w:t>
      </w:r>
      <w:r>
        <w:rPr>
          <w:rFonts w:hint="eastAsia" w:ascii="仿宋_GB2312" w:eastAsia="仿宋_GB2312"/>
          <w:sz w:val="32"/>
          <w:szCs w:val="32"/>
          <w:highlight w:val="none"/>
        </w:rPr>
        <w:t>单位价值50万元以上通用设备0台（套）、单位价值100万元以上专用设备0台（套）。</w:t>
      </w:r>
    </w:p>
    <w:p>
      <w:pPr>
        <w:ind w:firstLine="640" w:firstLineChars="200"/>
        <w:outlineLvl w:val="1"/>
        <w:rPr>
          <w:rFonts w:ascii="黑体" w:hAnsi="黑体" w:eastAsia="黑体" w:cs="宋体"/>
          <w:bCs/>
          <w:kern w:val="0"/>
          <w:sz w:val="32"/>
          <w:szCs w:val="32"/>
          <w:highlight w:val="none"/>
        </w:rPr>
      </w:pPr>
      <w:bookmarkStart w:id="32" w:name="_Toc11283"/>
      <w:bookmarkStart w:id="33" w:name="_Toc435"/>
      <w:r>
        <w:rPr>
          <w:rFonts w:hint="eastAsia" w:ascii="黑体" w:hAnsi="黑体" w:eastAsia="黑体" w:cs="宋体"/>
          <w:bCs/>
          <w:kern w:val="0"/>
          <w:sz w:val="32"/>
          <w:szCs w:val="32"/>
          <w:highlight w:val="none"/>
        </w:rPr>
        <w:t>十、预算绩效的情况说明</w:t>
      </w:r>
      <w:bookmarkEnd w:id="32"/>
      <w:bookmarkEnd w:id="33"/>
    </w:p>
    <w:p>
      <w:pPr>
        <w:ind w:firstLine="640" w:firstLineChars="200"/>
        <w:rPr>
          <w:rFonts w:ascii="仿宋_GB2312" w:eastAsia="仿宋_GB2312"/>
          <w:sz w:val="32"/>
          <w:szCs w:val="32"/>
          <w:highlight w:val="none"/>
        </w:rPr>
      </w:pPr>
      <w:r>
        <w:rPr>
          <w:rFonts w:hint="eastAsia" w:ascii="仿宋_GB2312" w:eastAsia="仿宋_GB2312"/>
          <w:sz w:val="32"/>
          <w:szCs w:val="32"/>
          <w:highlight w:val="none"/>
        </w:rPr>
        <w:t>根据预算绩效管理要求，我单位2019年度开展预算绩效评价项目</w:t>
      </w:r>
      <w:r>
        <w:rPr>
          <w:rFonts w:hint="eastAsia" w:ascii="仿宋_GB2312" w:eastAsia="仿宋_GB2312"/>
          <w:sz w:val="32"/>
          <w:szCs w:val="32"/>
          <w:highlight w:val="none"/>
          <w:lang w:val="en-US" w:eastAsia="zh-CN"/>
        </w:rPr>
        <w:t>26</w:t>
      </w:r>
      <w:r>
        <w:rPr>
          <w:rFonts w:hint="eastAsia" w:ascii="仿宋_GB2312" w:eastAsia="仿宋_GB2312"/>
          <w:sz w:val="32"/>
          <w:szCs w:val="32"/>
          <w:highlight w:val="none"/>
        </w:rPr>
        <w:t>个。预算绩效管理取得的成效：一是产出指标评价：</w:t>
      </w:r>
      <w:r>
        <w:rPr>
          <w:rFonts w:hint="eastAsia" w:ascii="仿宋_GB2312" w:eastAsia="仿宋_GB2312"/>
          <w:sz w:val="32"/>
          <w:szCs w:val="32"/>
          <w:highlight w:val="none"/>
          <w:lang w:val="en-US" w:eastAsia="zh-CN"/>
        </w:rPr>
        <w:t>相关指标</w:t>
      </w:r>
      <w:r>
        <w:rPr>
          <w:rFonts w:hint="eastAsia" w:ascii="仿宋_GB2312" w:eastAsia="仿宋_GB2312"/>
          <w:sz w:val="32"/>
          <w:szCs w:val="32"/>
          <w:highlight w:val="none"/>
        </w:rPr>
        <w:t>任务是在预算资金额度内完成，并通过规范的招投标及严格的资金管理及项目管理措施实现了资金的节约。巴楚县2018年第二批森林抚育补助项目</w:t>
      </w:r>
      <w:r>
        <w:rPr>
          <w:rFonts w:hint="eastAsia" w:ascii="仿宋_GB2312" w:eastAsia="仿宋_GB2312"/>
          <w:sz w:val="32"/>
          <w:szCs w:val="32"/>
          <w:highlight w:val="none"/>
          <w:lang w:eastAsia="zh-CN"/>
        </w:rPr>
        <w:t>，森林抚育作业面积</w:t>
      </w:r>
      <w:r>
        <w:rPr>
          <w:rFonts w:hint="eastAsia" w:ascii="仿宋_GB2312" w:eastAsia="仿宋_GB2312"/>
          <w:sz w:val="32"/>
          <w:szCs w:val="32"/>
          <w:highlight w:val="none"/>
          <w:lang w:val="en-US" w:eastAsia="zh-CN"/>
        </w:rPr>
        <w:t>4.5万亩，设置固定样地和监测样地45组，枯死枝、病弱枝和树冠下部1—2轮活枝清除率100%，影响目的树种幼苗幼树生长的杂灌杂草和藤本植物清除率100%，修枝费用每亩30元，除草、松土费用每亩20元，林地清理及剩余物处理费用每亩23.2元；2015年新一轮退耕还林第三批补助资金项目，退耕还林面积补助面积8299.6亩，造林地块上图率100%，面积信息准确率100%。</w:t>
      </w:r>
      <w:r>
        <w:rPr>
          <w:rFonts w:hint="eastAsia" w:ascii="仿宋_GB2312" w:eastAsia="仿宋_GB2312"/>
          <w:sz w:val="32"/>
          <w:szCs w:val="32"/>
          <w:highlight w:val="none"/>
        </w:rPr>
        <w:t>二是效益指标评价：巴楚县2018年第二批森林抚育补助项目可带动亩均增产</w:t>
      </w:r>
      <w:r>
        <w:rPr>
          <w:rFonts w:hint="eastAsia" w:ascii="仿宋_GB2312" w:eastAsia="仿宋_GB2312"/>
          <w:sz w:val="32"/>
          <w:szCs w:val="32"/>
          <w:highlight w:val="none"/>
          <w:lang w:val="en-US" w:eastAsia="zh-CN"/>
        </w:rPr>
        <w:t>20公斤</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2015年新一轮退耕还林第三批补助资金项目，</w:t>
      </w:r>
      <w:r>
        <w:rPr>
          <w:rFonts w:hint="eastAsia" w:ascii="仿宋_GB2312" w:eastAsia="仿宋_GB2312"/>
          <w:sz w:val="32"/>
          <w:szCs w:val="32"/>
          <w:highlight w:val="none"/>
        </w:rPr>
        <w:t>绿洲森林覆盖率</w:t>
      </w:r>
      <w:r>
        <w:rPr>
          <w:rFonts w:hint="eastAsia" w:ascii="仿宋_GB2312" w:eastAsia="仿宋_GB2312"/>
          <w:sz w:val="32"/>
          <w:szCs w:val="32"/>
          <w:highlight w:val="none"/>
          <w:lang w:eastAsia="zh-CN"/>
        </w:rPr>
        <w:t>增加，受益贫困户长期增收。</w:t>
      </w:r>
      <w:r>
        <w:rPr>
          <w:rFonts w:hint="eastAsia" w:ascii="仿宋_GB2312" w:eastAsia="仿宋_GB2312"/>
          <w:sz w:val="32"/>
          <w:szCs w:val="32"/>
          <w:highlight w:val="none"/>
        </w:rPr>
        <w:t>三是满意度指标评价：根据调查问卷，巴楚县2018年第二批森林抚育补助项目满意度指标完成</w:t>
      </w:r>
      <w:r>
        <w:rPr>
          <w:rFonts w:hint="eastAsia" w:ascii="仿宋_GB2312" w:eastAsia="仿宋_GB2312"/>
          <w:sz w:val="32"/>
          <w:szCs w:val="32"/>
          <w:highlight w:val="none"/>
          <w:lang w:val="en-US" w:eastAsia="zh-CN"/>
        </w:rPr>
        <w:t>100%</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2015年新一轮退耕还林第三批补助资金项目，</w:t>
      </w:r>
      <w:r>
        <w:rPr>
          <w:rFonts w:hint="eastAsia" w:ascii="仿宋_GB2312" w:eastAsia="仿宋_GB2312"/>
          <w:sz w:val="32"/>
          <w:szCs w:val="32"/>
          <w:highlight w:val="none"/>
        </w:rPr>
        <w:t>满意度指标完成</w:t>
      </w:r>
      <w:r>
        <w:rPr>
          <w:rFonts w:hint="eastAsia" w:ascii="仿宋_GB2312" w:eastAsia="仿宋_GB2312"/>
          <w:sz w:val="32"/>
          <w:szCs w:val="32"/>
          <w:highlight w:val="none"/>
          <w:lang w:val="en-US" w:eastAsia="zh-CN"/>
        </w:rPr>
        <w:t>100%</w:t>
      </w:r>
      <w:r>
        <w:rPr>
          <w:rFonts w:hint="eastAsia" w:ascii="仿宋_GB2312" w:eastAsia="仿宋_GB2312"/>
          <w:sz w:val="32"/>
          <w:szCs w:val="32"/>
          <w:highlight w:val="none"/>
        </w:rPr>
        <w:t>。发现的问题及原因：一是项目前期</w:t>
      </w:r>
      <w:r>
        <w:rPr>
          <w:rFonts w:hint="eastAsia" w:ascii="仿宋_GB2312" w:eastAsia="仿宋_GB2312"/>
          <w:sz w:val="32"/>
          <w:szCs w:val="32"/>
          <w:highlight w:val="none"/>
          <w:lang w:val="en-US" w:eastAsia="zh-CN"/>
        </w:rPr>
        <w:t>准备时间较长</w:t>
      </w:r>
      <w:r>
        <w:rPr>
          <w:rFonts w:hint="eastAsia" w:ascii="仿宋_GB2312" w:eastAsia="仿宋_GB2312"/>
          <w:sz w:val="32"/>
          <w:szCs w:val="32"/>
          <w:highlight w:val="none"/>
        </w:rPr>
        <w:t>资金未及时拨付，导致了资金滞缓，影响了项目的进度</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二是绩效管理机构人员不健全基础管理工作比较薄弱。下一步改进措施：一是年初做好资金计划，按照项目进度及时拨付资金，使资金使用效益最大化，减少浪费，节约成本</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二</w:t>
      </w:r>
      <w:r>
        <w:rPr>
          <w:rFonts w:hint="eastAsia" w:ascii="仿宋_GB2312" w:eastAsia="仿宋_GB2312"/>
          <w:sz w:val="32"/>
          <w:szCs w:val="32"/>
          <w:highlight w:val="none"/>
        </w:rPr>
        <w:t>是加强绩效管理工作的人员业务培训；</w:t>
      </w:r>
      <w:r>
        <w:rPr>
          <w:rFonts w:hint="eastAsia" w:ascii="仿宋_GB2312" w:eastAsia="仿宋_GB2312"/>
          <w:sz w:val="32"/>
          <w:szCs w:val="32"/>
          <w:highlight w:val="none"/>
          <w:lang w:val="en-US" w:eastAsia="zh-CN"/>
        </w:rPr>
        <w:t>三</w:t>
      </w:r>
      <w:r>
        <w:rPr>
          <w:rFonts w:hint="eastAsia" w:ascii="仿宋_GB2312" w:eastAsia="仿宋_GB2312"/>
          <w:sz w:val="32"/>
          <w:szCs w:val="32"/>
          <w:highlight w:val="none"/>
        </w:rPr>
        <w:t>是建立健全规章制度，对绩效管理工作细化、量化，增加可操作性</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四</w:t>
      </w:r>
      <w:r>
        <w:rPr>
          <w:rFonts w:hint="eastAsia" w:ascii="仿宋_GB2312" w:eastAsia="仿宋_GB2312"/>
          <w:sz w:val="32"/>
          <w:szCs w:val="32"/>
          <w:highlight w:val="none"/>
        </w:rPr>
        <w:t>是制定科学合理的绩效考核机制，进一步细化绩效考核流程，并严格执行绩效考核制度，切忌</w:t>
      </w:r>
      <w:r>
        <w:rPr>
          <w:rFonts w:hint="eastAsia" w:ascii="仿宋_GB2312" w:eastAsia="仿宋_GB2312"/>
          <w:sz w:val="32"/>
          <w:szCs w:val="32"/>
          <w:highlight w:val="none"/>
          <w:lang w:eastAsia="zh-CN"/>
        </w:rPr>
        <w:t>流</w:t>
      </w:r>
      <w:r>
        <w:rPr>
          <w:rFonts w:hint="eastAsia" w:ascii="仿宋_GB2312" w:eastAsia="仿宋_GB2312"/>
          <w:sz w:val="32"/>
          <w:szCs w:val="32"/>
          <w:highlight w:val="none"/>
        </w:rPr>
        <w:t>于形式。具体项目自评情况附项目支出绩效自评表。</w:t>
      </w:r>
    </w:p>
    <w:p>
      <w:pPr>
        <w:ind w:firstLine="640" w:firstLineChars="200"/>
        <w:rPr>
          <w:rFonts w:ascii="仿宋_GB2312" w:eastAsia="仿宋_GB2312"/>
          <w:sz w:val="32"/>
          <w:szCs w:val="32"/>
        </w:rPr>
      </w:pPr>
    </w:p>
    <w:p>
      <w:pPr>
        <w:ind w:firstLine="640" w:firstLineChars="200"/>
        <w:jc w:val="center"/>
        <w:outlineLvl w:val="0"/>
        <w:rPr>
          <w:rFonts w:ascii="黑体" w:hAnsi="黑体" w:eastAsia="黑体"/>
          <w:sz w:val="32"/>
          <w:szCs w:val="32"/>
        </w:rPr>
      </w:pPr>
      <w:bookmarkStart w:id="34" w:name="_Toc3250"/>
      <w:bookmarkStart w:id="35" w:name="_Toc24143"/>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bookmarkStart w:id="36" w:name="_Toc28903"/>
      <w:bookmarkStart w:id="37" w:name="_Toc22784"/>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2183"/>
      <w:bookmarkStart w:id="39" w:name="_Toc6062"/>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24532"/>
      <w:bookmarkStart w:id="41" w:name="_Toc30364"/>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21304"/>
      <w:bookmarkStart w:id="43" w:name="_Toc3243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28786"/>
      <w:bookmarkStart w:id="45" w:name="_Toc14238"/>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4869"/>
      <w:bookmarkStart w:id="47" w:name="_Toc10347"/>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5626"/>
      <w:bookmarkStart w:id="49" w:name="_Toc8884"/>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29106"/>
      <w:bookmarkStart w:id="51" w:name="_Toc32663"/>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5453"/>
      <w:bookmarkStart w:id="53" w:name="_Toc7643"/>
      <w:r>
        <w:rPr>
          <w:rFonts w:hint="eastAsia" w:ascii="黑体" w:hAnsi="黑体" w:eastAsia="黑体" w:cs="宋体"/>
          <w:bCs/>
          <w:kern w:val="0"/>
          <w:sz w:val="32"/>
          <w:szCs w:val="32"/>
        </w:rPr>
        <w:t>八、《政府性基金预算财政拨款收入支出决算表》</w:t>
      </w:r>
      <w:bookmarkEnd w:id="52"/>
      <w:bookmarkEnd w:id="53"/>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2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STQfgMCAAAEBAAADgAAAGRycy9lMm9Eb2MueG1srVNLbtswEN0X6B0I&#10;7mvJXhSGYDlIY7gokH6AtAegKUoiKnKIIW3JPUB7g6666b7n8jk6pCw3TTZZZEMMyeGb994MV1eD&#10;6dhBoddgSz6f5ZwpK6HStin5l8/bV0vOfBC2Eh1YVfKj8vxq/fLFqneFWkALXaWQEYj1Re9K3obg&#10;iizzslVG+Bk4ZemyBjQi0BabrELRE7rpskWev856wMohSOU9nW7GS35GxKcAQl1rqTYg90bZMKKi&#10;6kQgSb7VzvN1YlvXSoaPde1VYF3JSWlIKxWheBfXbL0SRYPCtVqeKYinUHigyQhtqegFaiOCYHvU&#10;j6CMlgge6jCTYLJRSHKEVMzzB97ctcKppIWs9u5iun8+WPnh8AmZrmgSOLPCUMNPP3+cfv05/f7O&#10;5tGe3vmCsu4c5YXhDQwxNUr17hbkV88s3LTCNuoaEfpWiYropZfZvacjjo8gu/49VFRH7AMkoKFG&#10;EwHJDUbo1JrjpTVqCEzGksvFcpnTlaS7aUPsMlFMzx368FaBYTEoOVLvE7w43Powpk4psZqFre66&#10;1P/O/ndAmPEk0Y+MR+5h2A1nO3ZQHUkIwjhO9JkoaAG/cdbTKJXc0s/hrHtnyYo4dVOAU7CbAmEl&#10;PSx54GwMb8I4nXuHumkJdzL7muza6iQk+jpyOLOk4UhWnAc5Tt/9fcr693nXf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OqXm5zwAAAAUBAAAPAAAAAAAAAAEAIAAAACIAAABkcnMvZG93bnJldi54&#10;bWxQSwECFAAUAAAACACHTuJA5STQfgMCAAAEBAAADgAAAAAAAAABACAAAAAeAQAAZHJzL2Uyb0Rv&#10;Yy54bWxQSwUGAAAAAAYABgBZAQAAkwU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40"/>
  <w:bordersDoNotSurroundHeader w:val="1"/>
  <w:bordersDoNotSurroundFooter w:val="1"/>
  <w:documentProtection w:edit="comments"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E66"/>
    <w:rsid w:val="000033EF"/>
    <w:rsid w:val="00004533"/>
    <w:rsid w:val="00005A21"/>
    <w:rsid w:val="0004063C"/>
    <w:rsid w:val="000701A7"/>
    <w:rsid w:val="00082456"/>
    <w:rsid w:val="000A663A"/>
    <w:rsid w:val="000B57B8"/>
    <w:rsid w:val="000F01B7"/>
    <w:rsid w:val="000F6705"/>
    <w:rsid w:val="001128A8"/>
    <w:rsid w:val="001130AE"/>
    <w:rsid w:val="001237CF"/>
    <w:rsid w:val="00125A6F"/>
    <w:rsid w:val="0014029C"/>
    <w:rsid w:val="00146FA3"/>
    <w:rsid w:val="00162E66"/>
    <w:rsid w:val="001826D1"/>
    <w:rsid w:val="001848EE"/>
    <w:rsid w:val="00186B3B"/>
    <w:rsid w:val="001C2D35"/>
    <w:rsid w:val="001C5BE8"/>
    <w:rsid w:val="001C6E66"/>
    <w:rsid w:val="001D3634"/>
    <w:rsid w:val="001D37EF"/>
    <w:rsid w:val="001E4D79"/>
    <w:rsid w:val="001F777A"/>
    <w:rsid w:val="002122DE"/>
    <w:rsid w:val="00227229"/>
    <w:rsid w:val="002328AF"/>
    <w:rsid w:val="00233021"/>
    <w:rsid w:val="0024217C"/>
    <w:rsid w:val="00243E6C"/>
    <w:rsid w:val="00265F92"/>
    <w:rsid w:val="00272845"/>
    <w:rsid w:val="0029171A"/>
    <w:rsid w:val="00292B7F"/>
    <w:rsid w:val="002B072F"/>
    <w:rsid w:val="002B37DA"/>
    <w:rsid w:val="002B7A04"/>
    <w:rsid w:val="002D187F"/>
    <w:rsid w:val="002F1732"/>
    <w:rsid w:val="00327986"/>
    <w:rsid w:val="003314E6"/>
    <w:rsid w:val="00340AE7"/>
    <w:rsid w:val="00354737"/>
    <w:rsid w:val="0037159F"/>
    <w:rsid w:val="00377EC6"/>
    <w:rsid w:val="003920B8"/>
    <w:rsid w:val="003A44F0"/>
    <w:rsid w:val="003C3EF4"/>
    <w:rsid w:val="003D1DD1"/>
    <w:rsid w:val="003E5F70"/>
    <w:rsid w:val="00400D8F"/>
    <w:rsid w:val="00430E56"/>
    <w:rsid w:val="004318F5"/>
    <w:rsid w:val="00456820"/>
    <w:rsid w:val="00471387"/>
    <w:rsid w:val="00471BBD"/>
    <w:rsid w:val="0047268F"/>
    <w:rsid w:val="004A41CF"/>
    <w:rsid w:val="004A44C9"/>
    <w:rsid w:val="004B2E7F"/>
    <w:rsid w:val="004D35C0"/>
    <w:rsid w:val="004E519F"/>
    <w:rsid w:val="004F1D2D"/>
    <w:rsid w:val="00531503"/>
    <w:rsid w:val="00534ECA"/>
    <w:rsid w:val="005358C2"/>
    <w:rsid w:val="005474EB"/>
    <w:rsid w:val="005506DD"/>
    <w:rsid w:val="005529D0"/>
    <w:rsid w:val="00553FB5"/>
    <w:rsid w:val="00554A58"/>
    <w:rsid w:val="00560394"/>
    <w:rsid w:val="0056525F"/>
    <w:rsid w:val="005B1DE6"/>
    <w:rsid w:val="005C11EB"/>
    <w:rsid w:val="006032AE"/>
    <w:rsid w:val="0068591E"/>
    <w:rsid w:val="00690F22"/>
    <w:rsid w:val="00693012"/>
    <w:rsid w:val="006B0B73"/>
    <w:rsid w:val="006D2B94"/>
    <w:rsid w:val="006E0721"/>
    <w:rsid w:val="0070295D"/>
    <w:rsid w:val="00725755"/>
    <w:rsid w:val="0075023C"/>
    <w:rsid w:val="00750D8A"/>
    <w:rsid w:val="00764051"/>
    <w:rsid w:val="00772611"/>
    <w:rsid w:val="007741F8"/>
    <w:rsid w:val="007B0022"/>
    <w:rsid w:val="007E2E4F"/>
    <w:rsid w:val="007E3BFD"/>
    <w:rsid w:val="00807B4B"/>
    <w:rsid w:val="008144CF"/>
    <w:rsid w:val="00827663"/>
    <w:rsid w:val="00847CE1"/>
    <w:rsid w:val="00852D88"/>
    <w:rsid w:val="00857132"/>
    <w:rsid w:val="00862395"/>
    <w:rsid w:val="008853A8"/>
    <w:rsid w:val="00887778"/>
    <w:rsid w:val="008D5B57"/>
    <w:rsid w:val="008F7D99"/>
    <w:rsid w:val="00922FA7"/>
    <w:rsid w:val="00927301"/>
    <w:rsid w:val="009351E1"/>
    <w:rsid w:val="0094423A"/>
    <w:rsid w:val="00963E2E"/>
    <w:rsid w:val="009774AD"/>
    <w:rsid w:val="00980F6F"/>
    <w:rsid w:val="009A173F"/>
    <w:rsid w:val="009C479E"/>
    <w:rsid w:val="009F4245"/>
    <w:rsid w:val="009F594D"/>
    <w:rsid w:val="00A009B3"/>
    <w:rsid w:val="00A239E7"/>
    <w:rsid w:val="00A34EDA"/>
    <w:rsid w:val="00AA13D0"/>
    <w:rsid w:val="00AC0B18"/>
    <w:rsid w:val="00AC1D87"/>
    <w:rsid w:val="00AE136F"/>
    <w:rsid w:val="00AE6C82"/>
    <w:rsid w:val="00AE7A56"/>
    <w:rsid w:val="00AF0871"/>
    <w:rsid w:val="00AF530E"/>
    <w:rsid w:val="00AF5DFE"/>
    <w:rsid w:val="00B006E5"/>
    <w:rsid w:val="00B13535"/>
    <w:rsid w:val="00B24234"/>
    <w:rsid w:val="00B3219F"/>
    <w:rsid w:val="00B51D57"/>
    <w:rsid w:val="00B64D13"/>
    <w:rsid w:val="00B76725"/>
    <w:rsid w:val="00BC38D2"/>
    <w:rsid w:val="00BC65E4"/>
    <w:rsid w:val="00BE0A9F"/>
    <w:rsid w:val="00C01003"/>
    <w:rsid w:val="00C87860"/>
    <w:rsid w:val="00C92609"/>
    <w:rsid w:val="00C974A0"/>
    <w:rsid w:val="00CA0969"/>
    <w:rsid w:val="00CB7A14"/>
    <w:rsid w:val="00CD1E0A"/>
    <w:rsid w:val="00CD44C9"/>
    <w:rsid w:val="00CE40E2"/>
    <w:rsid w:val="00CE4AEB"/>
    <w:rsid w:val="00CE74CB"/>
    <w:rsid w:val="00D00B68"/>
    <w:rsid w:val="00D04E19"/>
    <w:rsid w:val="00D6644C"/>
    <w:rsid w:val="00D71F68"/>
    <w:rsid w:val="00D767F4"/>
    <w:rsid w:val="00DA07A0"/>
    <w:rsid w:val="00DB6F81"/>
    <w:rsid w:val="00DC1313"/>
    <w:rsid w:val="00DD3B82"/>
    <w:rsid w:val="00E43F43"/>
    <w:rsid w:val="00EE3598"/>
    <w:rsid w:val="00EE791B"/>
    <w:rsid w:val="00F040C7"/>
    <w:rsid w:val="00F04DC0"/>
    <w:rsid w:val="00F24BA1"/>
    <w:rsid w:val="00F45607"/>
    <w:rsid w:val="00F552F7"/>
    <w:rsid w:val="00F57EE2"/>
    <w:rsid w:val="00F777E1"/>
    <w:rsid w:val="00F80266"/>
    <w:rsid w:val="00F83E19"/>
    <w:rsid w:val="00FB3828"/>
    <w:rsid w:val="00FC7A52"/>
    <w:rsid w:val="00FE0761"/>
    <w:rsid w:val="00FF5166"/>
    <w:rsid w:val="06294B3E"/>
    <w:rsid w:val="06792773"/>
    <w:rsid w:val="0C7059A7"/>
    <w:rsid w:val="12990775"/>
    <w:rsid w:val="180E209D"/>
    <w:rsid w:val="1DAF458D"/>
    <w:rsid w:val="2A053397"/>
    <w:rsid w:val="2D1136DF"/>
    <w:rsid w:val="2EB41852"/>
    <w:rsid w:val="31C63837"/>
    <w:rsid w:val="3D5275AC"/>
    <w:rsid w:val="43105F73"/>
    <w:rsid w:val="439616F8"/>
    <w:rsid w:val="45A0554E"/>
    <w:rsid w:val="46901EEE"/>
    <w:rsid w:val="469C74D2"/>
    <w:rsid w:val="50DB5F45"/>
    <w:rsid w:val="57834E73"/>
    <w:rsid w:val="58C5102D"/>
    <w:rsid w:val="594C352A"/>
    <w:rsid w:val="59DB3424"/>
    <w:rsid w:val="609D558B"/>
    <w:rsid w:val="69AD798C"/>
    <w:rsid w:val="6B68175F"/>
    <w:rsid w:val="73FB6630"/>
    <w:rsid w:val="77ED6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1034</Words>
  <Characters>5894</Characters>
  <Lines>49</Lines>
  <Paragraphs>13</Paragraphs>
  <TotalTime>0</TotalTime>
  <ScaleCrop>false</ScaleCrop>
  <LinksUpToDate>false</LinksUpToDate>
  <CharactersWithSpaces>6915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2020-07-16T02:47:00Z</dcterms:created>
  <dc:creator>GXR</dc:creator>
  <cp:lastModifiedBy>Administrator</cp:lastModifiedBy>
  <dcterms:modified xsi:type="dcterms:W3CDTF">2021-06-22T08:22:45Z</dcterms:modified>
  <cp:revision>150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